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C61E3" w14:textId="77777777" w:rsidR="007B0E0C" w:rsidRPr="00FF6761" w:rsidRDefault="007B0E0C" w:rsidP="00FF6761">
      <w:pPr>
        <w:spacing w:line="276" w:lineRule="auto"/>
        <w:rPr>
          <w:rFonts w:ascii="Arial" w:hAnsi="Arial" w:cs="Arial"/>
          <w:b/>
          <w:bCs/>
          <w:lang w:val="es-ES"/>
        </w:rPr>
      </w:pPr>
      <w:r w:rsidRPr="00FF6761">
        <w:rPr>
          <w:rFonts w:ascii="Arial" w:hAnsi="Arial" w:cs="Arial"/>
          <w:b/>
          <w:bCs/>
          <w:lang w:val="es-ES"/>
        </w:rPr>
        <w:t>Censo de cultivos de coca 2024</w:t>
      </w:r>
    </w:p>
    <w:p w14:paraId="7B7320FE" w14:textId="50D789C0" w:rsidR="006B0CB1" w:rsidRPr="00FF6761" w:rsidRDefault="006B0CB1" w:rsidP="00FF6761">
      <w:pPr>
        <w:spacing w:line="276" w:lineRule="auto"/>
        <w:rPr>
          <w:rFonts w:ascii="Arial" w:hAnsi="Arial" w:cs="Arial"/>
          <w:b/>
          <w:bCs/>
          <w:lang w:val="es-ES"/>
        </w:rPr>
      </w:pPr>
      <w:r w:rsidRPr="00FF6761">
        <w:rPr>
          <w:rFonts w:ascii="Arial" w:hAnsi="Arial" w:cs="Arial"/>
          <w:b/>
          <w:bCs/>
          <w:lang w:val="es-ES"/>
        </w:rPr>
        <w:t>Tendencias generales</w:t>
      </w:r>
    </w:p>
    <w:p w14:paraId="1EFC9958" w14:textId="77777777" w:rsidR="007B0E0C" w:rsidRPr="00FF6761" w:rsidRDefault="007B0E0C" w:rsidP="00CC147A">
      <w:pPr>
        <w:spacing w:line="276" w:lineRule="auto"/>
        <w:jc w:val="both"/>
        <w:rPr>
          <w:rFonts w:ascii="Arial" w:hAnsi="Arial" w:cs="Arial"/>
        </w:rPr>
      </w:pPr>
    </w:p>
    <w:p w14:paraId="0AC5A804" w14:textId="5B939A76" w:rsidR="006B0CB1" w:rsidRPr="00FF6761" w:rsidRDefault="006B0CB1" w:rsidP="00CC147A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 xml:space="preserve">Con fecha de corte a diciembre de 2024, el área sembrada </w:t>
      </w:r>
      <w:r w:rsidR="00F46789" w:rsidRPr="00FF6761">
        <w:rPr>
          <w:rFonts w:ascii="Arial" w:hAnsi="Arial" w:cs="Arial"/>
        </w:rPr>
        <w:t>con coca</w:t>
      </w:r>
      <w:r w:rsidRPr="00FF6761">
        <w:rPr>
          <w:rFonts w:ascii="Arial" w:hAnsi="Arial" w:cs="Arial"/>
        </w:rPr>
        <w:t xml:space="preserve"> se mantiene </w:t>
      </w:r>
      <w:r w:rsidR="00F46789" w:rsidRPr="00FF6761">
        <w:rPr>
          <w:rFonts w:ascii="Arial" w:hAnsi="Arial" w:cs="Arial"/>
        </w:rPr>
        <w:t xml:space="preserve">estable </w:t>
      </w:r>
      <w:r w:rsidRPr="00FF6761">
        <w:rPr>
          <w:rFonts w:ascii="Arial" w:hAnsi="Arial" w:cs="Arial"/>
        </w:rPr>
        <w:t xml:space="preserve">con un </w:t>
      </w:r>
      <w:r w:rsidR="00F46789" w:rsidRPr="00FF6761">
        <w:rPr>
          <w:rFonts w:ascii="Arial" w:hAnsi="Arial" w:cs="Arial"/>
        </w:rPr>
        <w:t>ligero</w:t>
      </w:r>
      <w:r w:rsidRPr="00FF6761">
        <w:rPr>
          <w:rFonts w:ascii="Arial" w:hAnsi="Arial" w:cs="Arial"/>
        </w:rPr>
        <w:t xml:space="preserve"> incremento cercano al 3% respecto lo reportado en 2023</w:t>
      </w:r>
      <w:r w:rsidR="001F2F85" w:rsidRPr="00FF6761">
        <w:rPr>
          <w:rFonts w:ascii="Arial" w:hAnsi="Arial" w:cs="Arial"/>
        </w:rPr>
        <w:t xml:space="preserve"> pasando de 253.000 ha a 261.000 ha en </w:t>
      </w:r>
      <w:r w:rsidR="00250713" w:rsidRPr="00FF6761">
        <w:rPr>
          <w:rFonts w:ascii="Arial" w:hAnsi="Arial" w:cs="Arial"/>
        </w:rPr>
        <w:t>2024; la</w:t>
      </w:r>
      <w:r w:rsidR="001F2F85" w:rsidRPr="00FF6761">
        <w:rPr>
          <w:rFonts w:ascii="Arial" w:hAnsi="Arial" w:cs="Arial"/>
        </w:rPr>
        <w:t xml:space="preserve"> dinámica actual muestra una concentración</w:t>
      </w:r>
      <w:r w:rsidRPr="00FF6761">
        <w:rPr>
          <w:rFonts w:ascii="Arial" w:hAnsi="Arial" w:cs="Arial"/>
        </w:rPr>
        <w:t xml:space="preserve"> en el Pacífico sur (Cauca-Nariño) y Catatumbo</w:t>
      </w:r>
    </w:p>
    <w:p w14:paraId="4B674B36" w14:textId="77777777" w:rsidR="008C6B8B" w:rsidRPr="00FF6761" w:rsidRDefault="008C6B8B" w:rsidP="008C6B8B">
      <w:pPr>
        <w:pStyle w:val="Prrafodelista"/>
        <w:spacing w:line="276" w:lineRule="auto"/>
        <w:jc w:val="both"/>
        <w:rPr>
          <w:rFonts w:ascii="Arial" w:hAnsi="Arial" w:cs="Arial"/>
        </w:rPr>
      </w:pPr>
    </w:p>
    <w:p w14:paraId="15DCA7E5" w14:textId="1108AD99" w:rsidR="008C6B8B" w:rsidRPr="00FF6761" w:rsidRDefault="006B0CB1" w:rsidP="008C6B8B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es-ES"/>
        </w:rPr>
      </w:pPr>
      <w:r w:rsidRPr="00FF6761">
        <w:rPr>
          <w:rFonts w:ascii="Arial" w:hAnsi="Arial" w:cs="Arial"/>
          <w:lang w:val="es-ES"/>
        </w:rPr>
        <w:t xml:space="preserve">Vale la pena destacar una reducción de los cultivos en la región Putumayo-Caquetá la </w:t>
      </w:r>
      <w:r w:rsidR="007B0E0C" w:rsidRPr="00FF6761">
        <w:rPr>
          <w:rFonts w:ascii="Arial" w:hAnsi="Arial" w:cs="Arial"/>
          <w:lang w:val="es-ES"/>
        </w:rPr>
        <w:t>cual podría</w:t>
      </w:r>
      <w:r w:rsidRPr="00FF6761">
        <w:rPr>
          <w:rFonts w:ascii="Arial" w:hAnsi="Arial" w:cs="Arial"/>
          <w:lang w:val="es-ES"/>
        </w:rPr>
        <w:t xml:space="preserve"> estar relacionada con la concentración de acciones de erradicación manual forzosa en la region y en el Bajo cauca Antioqueño que parece estar relacionada con un posible tránsito a otras actividades ilícitas como la minería</w:t>
      </w:r>
      <w:r w:rsidR="007B0E0C" w:rsidRPr="00FF6761">
        <w:rPr>
          <w:rFonts w:ascii="Arial" w:hAnsi="Arial" w:cs="Arial"/>
          <w:lang w:val="es-ES"/>
        </w:rPr>
        <w:t>.</w:t>
      </w:r>
    </w:p>
    <w:p w14:paraId="429A5064" w14:textId="77777777" w:rsidR="007B0E0C" w:rsidRPr="00FF6761" w:rsidRDefault="007B0E0C" w:rsidP="007B0E0C">
      <w:pPr>
        <w:pStyle w:val="Prrafodelista"/>
        <w:spacing w:line="276" w:lineRule="auto"/>
        <w:jc w:val="both"/>
        <w:rPr>
          <w:rFonts w:ascii="Arial" w:hAnsi="Arial" w:cs="Arial"/>
          <w:lang w:val="es-ES"/>
        </w:rPr>
      </w:pPr>
    </w:p>
    <w:p w14:paraId="21BCC930" w14:textId="2E050A9B" w:rsidR="006B0CB1" w:rsidRPr="00FF6761" w:rsidRDefault="006B0CB1" w:rsidP="00250713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es-ES"/>
        </w:rPr>
      </w:pPr>
      <w:r w:rsidRPr="00FF6761">
        <w:rPr>
          <w:rFonts w:ascii="Arial" w:hAnsi="Arial" w:cs="Arial"/>
          <w:lang w:val="es-ES"/>
        </w:rPr>
        <w:t>La tendencia a la concentración de la coca se mantiene, siendo representada por la permanencia de los 15 enclaves productivos. Seis departamentos continúan con menos de 100 ha sembradas con coca.</w:t>
      </w:r>
    </w:p>
    <w:p w14:paraId="57E1D88C" w14:textId="77777777" w:rsidR="008C6B8B" w:rsidRPr="00524054" w:rsidRDefault="008C6B8B" w:rsidP="008C6B8B">
      <w:pPr>
        <w:pStyle w:val="Prrafodelista"/>
        <w:rPr>
          <w:rFonts w:ascii="Arial" w:hAnsi="Arial" w:cs="Arial"/>
          <w:lang w:val="es-ES"/>
        </w:rPr>
      </w:pPr>
    </w:p>
    <w:p w14:paraId="6042245F" w14:textId="77777777" w:rsidR="00524054" w:rsidRPr="00524054" w:rsidRDefault="00524054" w:rsidP="00524054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Arial" w:hAnsi="Arial" w:cs="Arial"/>
          <w:lang w:val="es-ES"/>
        </w:rPr>
      </w:pPr>
      <w:r w:rsidRPr="00524054">
        <w:rPr>
          <w:rFonts w:ascii="Arial" w:hAnsi="Arial" w:cs="Arial"/>
          <w:lang w:val="es-ES"/>
        </w:rPr>
        <w:t xml:space="preserve">Respecto a la producción potencial de clorhidrato de cocaína, esta presentó un crecimiento de 12,6% en 2024, pasando de 2.664 </w:t>
      </w:r>
      <w:proofErr w:type="spellStart"/>
      <w:r w:rsidRPr="00524054">
        <w:rPr>
          <w:rFonts w:ascii="Arial" w:hAnsi="Arial" w:cs="Arial"/>
          <w:lang w:val="es-ES"/>
        </w:rPr>
        <w:t>tm</w:t>
      </w:r>
      <w:proofErr w:type="spellEnd"/>
      <w:r w:rsidRPr="00524054">
        <w:rPr>
          <w:rFonts w:ascii="Arial" w:hAnsi="Arial" w:cs="Arial"/>
          <w:lang w:val="es-ES"/>
        </w:rPr>
        <w:t xml:space="preserve"> en 2023 a 3.000 </w:t>
      </w:r>
      <w:proofErr w:type="spellStart"/>
      <w:r w:rsidRPr="00524054">
        <w:rPr>
          <w:rFonts w:ascii="Arial" w:hAnsi="Arial" w:cs="Arial"/>
          <w:lang w:val="es-ES"/>
        </w:rPr>
        <w:t>tm</w:t>
      </w:r>
      <w:proofErr w:type="spellEnd"/>
      <w:r w:rsidRPr="00524054">
        <w:rPr>
          <w:rFonts w:ascii="Arial" w:hAnsi="Arial" w:cs="Arial"/>
          <w:lang w:val="es-ES"/>
        </w:rPr>
        <w:t xml:space="preserve"> en 2024. El rendimiento promedio ponderado de hoja de coca por hectárea cosechada al año paso de 8,5 toneladas en 2023 a 9,1 toneladas en 2024, un incremento del 7%.</w:t>
      </w:r>
    </w:p>
    <w:p w14:paraId="67B7BF11" w14:textId="1BE55751" w:rsidR="007B0E0C" w:rsidRPr="00524054" w:rsidRDefault="007B0E0C" w:rsidP="008C6B8B">
      <w:pPr>
        <w:pStyle w:val="Prrafodelista"/>
        <w:rPr>
          <w:rFonts w:ascii="Arial" w:hAnsi="Arial" w:cs="Arial"/>
          <w:lang w:val="es-ES"/>
        </w:rPr>
      </w:pPr>
    </w:p>
    <w:p w14:paraId="5DF8A191" w14:textId="3DDFFF7B" w:rsidR="00CA4511" w:rsidRPr="00FF6761" w:rsidRDefault="00CA4511" w:rsidP="00CA4511">
      <w:pPr>
        <w:spacing w:line="276" w:lineRule="auto"/>
        <w:jc w:val="both"/>
        <w:rPr>
          <w:rFonts w:ascii="Arial" w:hAnsi="Arial" w:cs="Arial"/>
          <w:b/>
        </w:rPr>
      </w:pPr>
      <w:r w:rsidRPr="00FF6761">
        <w:rPr>
          <w:rFonts w:ascii="Arial" w:hAnsi="Arial" w:cs="Arial"/>
          <w:b/>
        </w:rPr>
        <w:t>Cultivos de coca más allá de las zonas tradicionales: un escenario para analizar los resultados</w:t>
      </w:r>
    </w:p>
    <w:p w14:paraId="5558DFAF" w14:textId="6F8103A0" w:rsidR="00CA4511" w:rsidRPr="00FF6761" w:rsidRDefault="007B0E0C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>Según el Reporte Mundial de Drogas de UNODC, se presenta un a</w:t>
      </w:r>
      <w:r w:rsidR="00CA4511" w:rsidRPr="00FF6761">
        <w:rPr>
          <w:rFonts w:ascii="Arial" w:hAnsi="Arial" w:cs="Arial"/>
        </w:rPr>
        <w:t>umento del 52% en el área de cultivos de coca en la región andina (Colombia. Perú y Bolivia), entre 20</w:t>
      </w:r>
      <w:r w:rsidRPr="00FF6761">
        <w:rPr>
          <w:rFonts w:ascii="Arial" w:hAnsi="Arial" w:cs="Arial"/>
        </w:rPr>
        <w:t>1</w:t>
      </w:r>
      <w:r w:rsidR="00CA4511" w:rsidRPr="00FF6761">
        <w:rPr>
          <w:rFonts w:ascii="Arial" w:hAnsi="Arial" w:cs="Arial"/>
        </w:rPr>
        <w:t>9 y 2022.</w:t>
      </w:r>
    </w:p>
    <w:p w14:paraId="16896626" w14:textId="098EDE6E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>Presencia de cultivos en zonas no tradicionales como México, Guatemala y Honduras.</w:t>
      </w:r>
    </w:p>
    <w:p w14:paraId="48F7DAC2" w14:textId="13E71A67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>Expansión del proceso de transformación coca a cocaína más allá de los territorios con cultivos</w:t>
      </w:r>
      <w:r w:rsidR="007B0E0C" w:rsidRPr="00FF6761">
        <w:rPr>
          <w:rFonts w:ascii="Arial" w:hAnsi="Arial" w:cs="Arial"/>
        </w:rPr>
        <w:t xml:space="preserve"> (se han detectado laboratorios en varios países incluido Europa).</w:t>
      </w:r>
    </w:p>
    <w:p w14:paraId="31198952" w14:textId="77777777" w:rsidR="004403CF" w:rsidRDefault="004403CF" w:rsidP="00CA4511">
      <w:pPr>
        <w:spacing w:line="276" w:lineRule="auto"/>
        <w:jc w:val="both"/>
        <w:rPr>
          <w:rFonts w:ascii="Arial" w:hAnsi="Arial" w:cs="Arial"/>
          <w:b/>
        </w:rPr>
      </w:pPr>
    </w:p>
    <w:p w14:paraId="723D2167" w14:textId="2027C767" w:rsidR="00CA4511" w:rsidRPr="00FF6761" w:rsidRDefault="00CA4511" w:rsidP="00CA4511">
      <w:pPr>
        <w:spacing w:line="276" w:lineRule="auto"/>
        <w:jc w:val="both"/>
        <w:rPr>
          <w:rFonts w:ascii="Arial" w:hAnsi="Arial" w:cs="Arial"/>
          <w:b/>
        </w:rPr>
      </w:pPr>
      <w:r w:rsidRPr="00FF6761">
        <w:rPr>
          <w:rFonts w:ascii="Arial" w:hAnsi="Arial" w:cs="Arial"/>
          <w:b/>
        </w:rPr>
        <w:t>Un fenómeno cada vez más estable</w:t>
      </w:r>
    </w:p>
    <w:p w14:paraId="0EC55B60" w14:textId="77777777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lastRenderedPageBreak/>
        <w:t xml:space="preserve">90% de la coca identificada en 2024 ha permanecido estable en los mismos territorios en los últimos 10 años </w:t>
      </w:r>
    </w:p>
    <w:p w14:paraId="773BA153" w14:textId="76B769B0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>Putumayo-Caquetá y el Bajo Cauca Antioqueño, son los territorios donde se identificó una mayor reducción del área sembrada con coca</w:t>
      </w:r>
    </w:p>
    <w:p w14:paraId="24D2548D" w14:textId="77777777" w:rsidR="007B0E0C" w:rsidRPr="00FF6761" w:rsidRDefault="007B0E0C" w:rsidP="00CA4511">
      <w:pPr>
        <w:spacing w:line="276" w:lineRule="auto"/>
        <w:jc w:val="both"/>
        <w:rPr>
          <w:rFonts w:ascii="Arial" w:hAnsi="Arial" w:cs="Arial"/>
          <w:b/>
        </w:rPr>
      </w:pPr>
    </w:p>
    <w:p w14:paraId="70D76DFA" w14:textId="1A78BC09" w:rsidR="00CA4511" w:rsidRPr="00FF6761" w:rsidRDefault="00CA4511" w:rsidP="00CA4511">
      <w:pPr>
        <w:spacing w:line="276" w:lineRule="auto"/>
        <w:jc w:val="both"/>
        <w:rPr>
          <w:rFonts w:ascii="Arial" w:hAnsi="Arial" w:cs="Arial"/>
          <w:b/>
        </w:rPr>
      </w:pPr>
      <w:r w:rsidRPr="00FF6761">
        <w:rPr>
          <w:rFonts w:ascii="Arial" w:hAnsi="Arial" w:cs="Arial"/>
          <w:b/>
        </w:rPr>
        <w:t>CONCENTRACIÓN DEL CULTIVO DE COCA EN COLOMBIA</w:t>
      </w:r>
    </w:p>
    <w:p w14:paraId="137D2B86" w14:textId="77777777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  <w:b/>
        </w:rPr>
        <w:t>Más coca en 'menos' grillas (Gini 0,51→0,60)</w:t>
      </w:r>
      <w:r w:rsidRPr="00FF6761">
        <w:rPr>
          <w:rFonts w:ascii="Arial" w:hAnsi="Arial" w:cs="Arial"/>
        </w:rPr>
        <w:t xml:space="preserve"> El cultivo se concentra en un número relativamente menor de grillas; no hay expansión generalizada, sino intensificación</w:t>
      </w:r>
    </w:p>
    <w:p w14:paraId="439E7B02" w14:textId="43FB662E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  <w:b/>
        </w:rPr>
        <w:t xml:space="preserve">Menos </w:t>
      </w:r>
      <w:proofErr w:type="gramStart"/>
      <w:r w:rsidRPr="00FF6761">
        <w:rPr>
          <w:rFonts w:ascii="Arial" w:hAnsi="Arial" w:cs="Arial"/>
          <w:b/>
        </w:rPr>
        <w:t>grillas</w:t>
      </w:r>
      <w:proofErr w:type="gramEnd"/>
      <w:r w:rsidRPr="00FF6761">
        <w:rPr>
          <w:rFonts w:ascii="Arial" w:hAnsi="Arial" w:cs="Arial"/>
          <w:b/>
        </w:rPr>
        <w:t xml:space="preserve"> pero más cercanas (Moran 0,39→0,76) </w:t>
      </w:r>
      <w:r w:rsidRPr="00FF6761">
        <w:rPr>
          <w:rFonts w:ascii="Arial" w:hAnsi="Arial" w:cs="Arial"/>
        </w:rPr>
        <w:t>Las grillas con coca se agruparon espacialmente a un ritmo acelerado desde 2012; transformándose de una configuración parcialmente concentrada hacia clústeres más compactos</w:t>
      </w:r>
    </w:p>
    <w:p w14:paraId="501453EF" w14:textId="77777777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 xml:space="preserve">En las zonas de concentración, la coca creció 3,4 veces entre lo reportado en 2015 y 2024. </w:t>
      </w:r>
    </w:p>
    <w:p w14:paraId="02A57FEF" w14:textId="3402704D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 xml:space="preserve">En las zonas de desconcentración, la coca se mantiene relativamente estable entre 2015-2024. </w:t>
      </w:r>
    </w:p>
    <w:p w14:paraId="097237B2" w14:textId="2229AFB2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>Cerca del 70% de la coca 2024 se localiza en zonas de concentración.</w:t>
      </w:r>
    </w:p>
    <w:p w14:paraId="460C0C5C" w14:textId="7C65813D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>De los 1.122 municipios que tiene Colombia, 180 presentan afectación por coca, y en tan solo 10 se concentra cerca de la mitad de la coca. Tumaco, retorna al primer lugar con cerca de 31.000 ha</w:t>
      </w:r>
      <w:r w:rsidR="007B0E0C" w:rsidRPr="00FF6761">
        <w:rPr>
          <w:rFonts w:ascii="Arial" w:hAnsi="Arial" w:cs="Arial"/>
        </w:rPr>
        <w:t xml:space="preserve">, seguido de Tibú. </w:t>
      </w:r>
    </w:p>
    <w:p w14:paraId="4DDA9FF3" w14:textId="44CE59D5" w:rsidR="00CA4511" w:rsidRDefault="00CA4511" w:rsidP="00CA4511">
      <w:pPr>
        <w:spacing w:line="276" w:lineRule="auto"/>
        <w:jc w:val="both"/>
        <w:rPr>
          <w:rFonts w:ascii="Arial" w:hAnsi="Arial" w:cs="Arial"/>
          <w:b/>
        </w:rPr>
      </w:pPr>
    </w:p>
    <w:p w14:paraId="6685EE89" w14:textId="35DC0DD9" w:rsidR="00524054" w:rsidRDefault="00524054" w:rsidP="00CA4511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Grupos armados</w:t>
      </w:r>
    </w:p>
    <w:p w14:paraId="26403253" w14:textId="77777777" w:rsidR="00524054" w:rsidRPr="00FF6761" w:rsidRDefault="00524054" w:rsidP="00CA4511">
      <w:pPr>
        <w:spacing w:line="276" w:lineRule="auto"/>
        <w:jc w:val="both"/>
        <w:rPr>
          <w:rFonts w:ascii="Arial" w:hAnsi="Arial" w:cs="Arial"/>
          <w:b/>
        </w:rPr>
      </w:pPr>
    </w:p>
    <w:p w14:paraId="387227F6" w14:textId="638B9441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>El 2024 se caracterizó por una mayor fragmentación de los grupos armados en Colombia.</w:t>
      </w:r>
    </w:p>
    <w:p w14:paraId="02874F38" w14:textId="77777777" w:rsidR="00CA4511" w:rsidRPr="00FF6761" w:rsidRDefault="00CA4511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>La fragmentación suele aumentar la conflictividad porque antiguos aliados empiezan a competir por las mismas comunidades, territorios y recursos.</w:t>
      </w:r>
    </w:p>
    <w:p w14:paraId="137B430D" w14:textId="1B43A809" w:rsidR="007B0E0C" w:rsidRPr="00FF6761" w:rsidRDefault="007B0E0C" w:rsidP="00CA4511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 xml:space="preserve">El 64&amp; de campesinos cultivadores de coca, procesan la hoja de coca. </w:t>
      </w:r>
    </w:p>
    <w:p w14:paraId="226BBFDE" w14:textId="3F0F79E5" w:rsidR="007B0E0C" w:rsidRDefault="007B0E0C" w:rsidP="007B0E0C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 xml:space="preserve">La demanda mundial de cocaína continua en aumento, según el último dato de </w:t>
      </w:r>
      <w:proofErr w:type="spellStart"/>
      <w:r w:rsidRPr="00FF6761">
        <w:rPr>
          <w:rFonts w:ascii="Arial" w:hAnsi="Arial" w:cs="Arial"/>
        </w:rPr>
        <w:t>Unodc</w:t>
      </w:r>
      <w:proofErr w:type="spellEnd"/>
      <w:r w:rsidRPr="00FF6761">
        <w:rPr>
          <w:rFonts w:ascii="Arial" w:hAnsi="Arial" w:cs="Arial"/>
        </w:rPr>
        <w:t xml:space="preserve"> publicado en 2025, cerca de 25 millones de personas consumen cocaína en el mundo. </w:t>
      </w:r>
    </w:p>
    <w:p w14:paraId="505FB23C" w14:textId="77777777" w:rsidR="00FF6761" w:rsidRDefault="00FF6761" w:rsidP="007B0E0C">
      <w:pPr>
        <w:spacing w:line="276" w:lineRule="auto"/>
        <w:jc w:val="both"/>
        <w:rPr>
          <w:rFonts w:ascii="Arial" w:hAnsi="Arial" w:cs="Arial"/>
        </w:rPr>
      </w:pPr>
    </w:p>
    <w:p w14:paraId="3F6E5D2E" w14:textId="15DD1FEA" w:rsidR="00FF6761" w:rsidRDefault="00FF6761" w:rsidP="007B0E0C">
      <w:pPr>
        <w:spacing w:line="276" w:lineRule="auto"/>
        <w:jc w:val="both"/>
        <w:rPr>
          <w:rFonts w:ascii="Arial" w:hAnsi="Arial" w:cs="Arial"/>
          <w:b/>
          <w:bCs/>
        </w:rPr>
      </w:pPr>
      <w:r w:rsidRPr="00FF6761">
        <w:rPr>
          <w:rFonts w:ascii="Arial" w:hAnsi="Arial" w:cs="Arial"/>
          <w:b/>
          <w:bCs/>
        </w:rPr>
        <w:lastRenderedPageBreak/>
        <w:t>Estimación del potencial de productividad</w:t>
      </w:r>
    </w:p>
    <w:p w14:paraId="32CF252D" w14:textId="5D9D8B45" w:rsidR="00524054" w:rsidRPr="00FF6761" w:rsidRDefault="00524054" w:rsidP="007B0E0C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3EE9A79C" w14:textId="4E82846A" w:rsidR="00FF6761" w:rsidRDefault="00FF6761" w:rsidP="007B0E0C">
      <w:pPr>
        <w:spacing w:line="276" w:lineRule="auto"/>
        <w:jc w:val="both"/>
        <w:rPr>
          <w:rFonts w:ascii="Arial" w:hAnsi="Arial" w:cs="Arial"/>
        </w:rPr>
      </w:pPr>
      <w:r w:rsidRPr="00FF6761">
        <w:rPr>
          <w:rFonts w:ascii="Arial" w:hAnsi="Arial" w:cs="Arial"/>
        </w:rPr>
        <w:t>El término producción potencial de cocaína se refiere a la cantidad de cocaína al 100% de pureza que teóricamente se podría producir a partir de las hectáreas detectadas de coca; depende de la estabilidad del cultivo, de la cantidad de hoja que se puede obtener de este, de la cantidad de alcaloide que está presente en las hojas y de la capacidad de los procesadores para extraer ese alcaloide y transformarlo en cocaína.</w:t>
      </w:r>
    </w:p>
    <w:p w14:paraId="3773B492" w14:textId="77777777" w:rsidR="004403CF" w:rsidRDefault="004403CF" w:rsidP="007B0E0C">
      <w:pPr>
        <w:spacing w:line="276" w:lineRule="auto"/>
        <w:jc w:val="both"/>
        <w:rPr>
          <w:rFonts w:ascii="Arial" w:hAnsi="Arial" w:cs="Arial"/>
        </w:rPr>
      </w:pPr>
    </w:p>
    <w:p w14:paraId="68A47E37" w14:textId="464357C8" w:rsidR="004403CF" w:rsidRPr="004403CF" w:rsidRDefault="004403CF" w:rsidP="004403CF">
      <w:pPr>
        <w:spacing w:line="276" w:lineRule="auto"/>
        <w:jc w:val="both"/>
        <w:rPr>
          <w:rFonts w:ascii="Arial" w:hAnsi="Arial" w:cs="Arial"/>
          <w:b/>
          <w:bCs/>
        </w:rPr>
      </w:pPr>
      <w:r w:rsidRPr="004403CF">
        <w:rPr>
          <w:rFonts w:ascii="Arial" w:hAnsi="Arial" w:cs="Arial"/>
          <w:b/>
          <w:bCs/>
        </w:rPr>
        <w:t>Metodología</w:t>
      </w:r>
      <w:r>
        <w:rPr>
          <w:rFonts w:ascii="Arial" w:hAnsi="Arial" w:cs="Arial"/>
          <w:b/>
          <w:bCs/>
        </w:rPr>
        <w:t>:</w:t>
      </w:r>
    </w:p>
    <w:p w14:paraId="21A40898" w14:textId="30F17C2B" w:rsidR="00FF6761" w:rsidRDefault="00FF6761" w:rsidP="007B0E0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UNODC </w:t>
      </w:r>
      <w:r w:rsidR="004403CF">
        <w:rPr>
          <w:rFonts w:ascii="Arial" w:hAnsi="Arial" w:cs="Arial"/>
        </w:rPr>
        <w:t xml:space="preserve">mostró el diagrama del proceso y </w:t>
      </w:r>
      <w:r>
        <w:rPr>
          <w:rFonts w:ascii="Arial" w:hAnsi="Arial" w:cs="Arial"/>
        </w:rPr>
        <w:t xml:space="preserve">explicó de forma general </w:t>
      </w:r>
      <w:r w:rsidR="004403CF">
        <w:rPr>
          <w:rFonts w:ascii="Arial" w:hAnsi="Arial" w:cs="Arial"/>
        </w:rPr>
        <w:t xml:space="preserve">la forma </w:t>
      </w:r>
      <w:proofErr w:type="gramStart"/>
      <w:r w:rsidR="004403CF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 xml:space="preserve"> estimación</w:t>
      </w:r>
      <w:proofErr w:type="gramEnd"/>
      <w:r>
        <w:rPr>
          <w:rFonts w:ascii="Arial" w:hAnsi="Arial" w:cs="Arial"/>
        </w:rPr>
        <w:t xml:space="preserve"> del potencial de producción</w:t>
      </w:r>
      <w:r w:rsidR="004403CF">
        <w:rPr>
          <w:rFonts w:ascii="Arial" w:hAnsi="Arial" w:cs="Arial"/>
        </w:rPr>
        <w:t>. La metodología obedece a un estándar internacional de UNODC.</w:t>
      </w:r>
      <w:r w:rsidR="00524054">
        <w:rPr>
          <w:rFonts w:ascii="Arial" w:hAnsi="Arial" w:cs="Arial"/>
        </w:rPr>
        <w:t xml:space="preserve"> </w:t>
      </w:r>
    </w:p>
    <w:p w14:paraId="47C7CDCC" w14:textId="72CC4C56" w:rsidR="00FF6761" w:rsidRDefault="00FF6761" w:rsidP="007B0E0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 parte del marco muestral de polígonos – lotes de hoja de coca.</w:t>
      </w:r>
    </w:p>
    <w:p w14:paraId="72C9EC0B" w14:textId="063FF341" w:rsidR="00FF6761" w:rsidRDefault="00FF6761" w:rsidP="007B0E0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 realizan encuestas a productores de coca y sea aplica la metodología de prueba de cosecha</w:t>
      </w:r>
      <w:r w:rsidR="004403CF">
        <w:rPr>
          <w:rFonts w:ascii="Arial" w:hAnsi="Arial" w:cs="Arial"/>
        </w:rPr>
        <w:t>, para determinar la cantidad de hoja de coca.</w:t>
      </w:r>
    </w:p>
    <w:p w14:paraId="3D2B87CE" w14:textId="4DCECD2B" w:rsidR="00FF6761" w:rsidRDefault="004403CF" w:rsidP="007B0E0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llegar a pasta base y clorhidrato </w:t>
      </w:r>
      <w:r w:rsidR="00524054">
        <w:rPr>
          <w:rFonts w:ascii="Arial" w:hAnsi="Arial" w:cs="Arial"/>
        </w:rPr>
        <w:t>s</w:t>
      </w:r>
      <w:r w:rsidR="00FF6761">
        <w:rPr>
          <w:rFonts w:ascii="Arial" w:hAnsi="Arial" w:cs="Arial"/>
        </w:rPr>
        <w:t>e realizan ejercicios de procesamiento de hoja de coca en el CENOP en articulación con Policía Nacional.</w:t>
      </w:r>
    </w:p>
    <w:p w14:paraId="1D5BB541" w14:textId="709B5E36" w:rsidR="00FF6761" w:rsidRDefault="00FF6761" w:rsidP="007B0E0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El proceso incorpora varios pasos y factores, bajo los cuales se llega a la estimación del potencial de producción.</w:t>
      </w:r>
    </w:p>
    <w:p w14:paraId="2E69E644" w14:textId="6DE45EAE" w:rsidR="00FF6761" w:rsidRDefault="00FF6761" w:rsidP="007B0E0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UNODC indicó que el potencial de producción es un indicador con limitaciones, por lo que se está revisando la metodología para fortalecerla.</w:t>
      </w:r>
      <w:r w:rsidR="004403CF">
        <w:rPr>
          <w:rFonts w:ascii="Arial" w:hAnsi="Arial" w:cs="Arial"/>
        </w:rPr>
        <w:t xml:space="preserve"> Además,</w:t>
      </w:r>
      <w:r>
        <w:rPr>
          <w:rFonts w:ascii="Arial" w:hAnsi="Arial" w:cs="Arial"/>
        </w:rPr>
        <w:t xml:space="preserve"> se está diseñando la metodología para medir a la </w:t>
      </w:r>
      <w:r w:rsidR="004403CF">
        <w:rPr>
          <w:rFonts w:ascii="Arial" w:hAnsi="Arial" w:cs="Arial"/>
        </w:rPr>
        <w:t>cocaína producida (este indicador tendrá en cuenta las distintas intervenciones del Gobierno).</w:t>
      </w:r>
    </w:p>
    <w:p w14:paraId="08B814FD" w14:textId="77777777" w:rsidR="00524054" w:rsidRDefault="00524054" w:rsidP="007B0E0C">
      <w:pPr>
        <w:spacing w:line="276" w:lineRule="auto"/>
        <w:jc w:val="both"/>
        <w:rPr>
          <w:rFonts w:ascii="Arial" w:hAnsi="Arial" w:cs="Arial"/>
        </w:rPr>
      </w:pPr>
    </w:p>
    <w:p w14:paraId="29D0B362" w14:textId="48F8877C" w:rsidR="00524054" w:rsidRPr="00524054" w:rsidRDefault="00524054" w:rsidP="007B0E0C">
      <w:pPr>
        <w:spacing w:line="276" w:lineRule="auto"/>
        <w:jc w:val="both"/>
        <w:rPr>
          <w:rFonts w:ascii="Arial" w:hAnsi="Arial" w:cs="Arial"/>
          <w:b/>
          <w:bCs/>
        </w:rPr>
      </w:pPr>
      <w:r w:rsidRPr="00524054">
        <w:rPr>
          <w:rFonts w:ascii="Arial" w:hAnsi="Arial" w:cs="Arial"/>
          <w:b/>
          <w:bCs/>
        </w:rPr>
        <w:t>Ruta para la revisión de la metodología</w:t>
      </w:r>
    </w:p>
    <w:p w14:paraId="21083C23" w14:textId="77777777" w:rsidR="00524054" w:rsidRDefault="00524054" w:rsidP="007B0E0C">
      <w:pPr>
        <w:spacing w:line="276" w:lineRule="auto"/>
        <w:jc w:val="both"/>
        <w:rPr>
          <w:rFonts w:ascii="Arial" w:hAnsi="Arial" w:cs="Arial"/>
        </w:rPr>
      </w:pPr>
    </w:p>
    <w:p w14:paraId="6550580E" w14:textId="3F6324B4" w:rsidR="00524054" w:rsidRDefault="00524054" w:rsidP="007B0E0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El Ministro ordenó la revisión de la metodología, y su precisión, probabilidad, y elementos que demuestren su rigor como evidencia, para lo cual se conformará un equipo experto en método científico. </w:t>
      </w:r>
    </w:p>
    <w:p w14:paraId="7B40B010" w14:textId="77777777" w:rsidR="00524054" w:rsidRDefault="00524054" w:rsidP="007B0E0C">
      <w:pPr>
        <w:spacing w:line="276" w:lineRule="auto"/>
        <w:jc w:val="both"/>
        <w:rPr>
          <w:rFonts w:ascii="Arial" w:hAnsi="Arial" w:cs="Arial"/>
        </w:rPr>
      </w:pPr>
    </w:p>
    <w:p w14:paraId="0EBD4FA1" w14:textId="77777777" w:rsidR="00524054" w:rsidRPr="00FF6761" w:rsidRDefault="00524054" w:rsidP="007B0E0C">
      <w:pPr>
        <w:spacing w:line="276" w:lineRule="auto"/>
        <w:jc w:val="both"/>
        <w:rPr>
          <w:rFonts w:ascii="Arial" w:hAnsi="Arial" w:cs="Arial"/>
        </w:rPr>
      </w:pPr>
    </w:p>
    <w:p w14:paraId="536BA961" w14:textId="77777777" w:rsidR="00FF6761" w:rsidRDefault="00FF6761" w:rsidP="007B0E0C">
      <w:pPr>
        <w:spacing w:line="276" w:lineRule="auto"/>
        <w:jc w:val="both"/>
      </w:pPr>
    </w:p>
    <w:sectPr w:rsidR="00FF676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FB63B" w14:textId="77777777" w:rsidR="00C9681C" w:rsidRDefault="00C9681C" w:rsidP="00F171AA">
      <w:pPr>
        <w:spacing w:after="0" w:line="240" w:lineRule="auto"/>
      </w:pPr>
      <w:r>
        <w:separator/>
      </w:r>
    </w:p>
  </w:endnote>
  <w:endnote w:type="continuationSeparator" w:id="0">
    <w:p w14:paraId="2195ACB1" w14:textId="77777777" w:rsidR="00C9681C" w:rsidRDefault="00C9681C" w:rsidP="00F1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6495B" w14:textId="77777777" w:rsidR="00C9681C" w:rsidRDefault="00C9681C" w:rsidP="00F171AA">
      <w:pPr>
        <w:spacing w:after="0" w:line="240" w:lineRule="auto"/>
      </w:pPr>
      <w:r>
        <w:separator/>
      </w:r>
    </w:p>
  </w:footnote>
  <w:footnote w:type="continuationSeparator" w:id="0">
    <w:p w14:paraId="74EA5FC2" w14:textId="77777777" w:rsidR="00C9681C" w:rsidRDefault="00C9681C" w:rsidP="00F17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37A5"/>
    <w:multiLevelType w:val="hybridMultilevel"/>
    <w:tmpl w:val="08447FAE"/>
    <w:lvl w:ilvl="0" w:tplc="86AAA7F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DC5D58"/>
    <w:multiLevelType w:val="multilevel"/>
    <w:tmpl w:val="8188D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22778A"/>
    <w:multiLevelType w:val="hybridMultilevel"/>
    <w:tmpl w:val="560091F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F1466B"/>
    <w:multiLevelType w:val="hybridMultilevel"/>
    <w:tmpl w:val="65B067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4A7936"/>
    <w:multiLevelType w:val="hybridMultilevel"/>
    <w:tmpl w:val="8AE4C744"/>
    <w:lvl w:ilvl="0" w:tplc="0CC8A6C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84632">
    <w:abstractNumId w:val="1"/>
  </w:num>
  <w:num w:numId="2" w16cid:durableId="787628505">
    <w:abstractNumId w:val="3"/>
  </w:num>
  <w:num w:numId="3" w16cid:durableId="848376356">
    <w:abstractNumId w:val="4"/>
  </w:num>
  <w:num w:numId="4" w16cid:durableId="590310088">
    <w:abstractNumId w:val="4"/>
  </w:num>
  <w:num w:numId="5" w16cid:durableId="1476682979">
    <w:abstractNumId w:val="2"/>
  </w:num>
  <w:num w:numId="6" w16cid:durableId="856653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CB1"/>
    <w:rsid w:val="0002220B"/>
    <w:rsid w:val="00030E8A"/>
    <w:rsid w:val="00070199"/>
    <w:rsid w:val="000C0AB0"/>
    <w:rsid w:val="000C27A9"/>
    <w:rsid w:val="000C619C"/>
    <w:rsid w:val="000E5E5B"/>
    <w:rsid w:val="001139FB"/>
    <w:rsid w:val="001404E3"/>
    <w:rsid w:val="00146BA6"/>
    <w:rsid w:val="00161DD2"/>
    <w:rsid w:val="001840CD"/>
    <w:rsid w:val="001E678F"/>
    <w:rsid w:val="001E7360"/>
    <w:rsid w:val="001F2F85"/>
    <w:rsid w:val="00250713"/>
    <w:rsid w:val="00264019"/>
    <w:rsid w:val="002C7809"/>
    <w:rsid w:val="0033299A"/>
    <w:rsid w:val="00336C2B"/>
    <w:rsid w:val="00352077"/>
    <w:rsid w:val="00361A7B"/>
    <w:rsid w:val="003805BE"/>
    <w:rsid w:val="00386E89"/>
    <w:rsid w:val="003B1C54"/>
    <w:rsid w:val="003C2BA4"/>
    <w:rsid w:val="003C4430"/>
    <w:rsid w:val="00422320"/>
    <w:rsid w:val="004403CF"/>
    <w:rsid w:val="00455E20"/>
    <w:rsid w:val="004638D0"/>
    <w:rsid w:val="00466909"/>
    <w:rsid w:val="004C7127"/>
    <w:rsid w:val="004E24B8"/>
    <w:rsid w:val="00501020"/>
    <w:rsid w:val="00504F0C"/>
    <w:rsid w:val="0050643D"/>
    <w:rsid w:val="00515A15"/>
    <w:rsid w:val="00524054"/>
    <w:rsid w:val="005664B0"/>
    <w:rsid w:val="00580573"/>
    <w:rsid w:val="005C11B4"/>
    <w:rsid w:val="005E2590"/>
    <w:rsid w:val="005E5162"/>
    <w:rsid w:val="006074D4"/>
    <w:rsid w:val="0063437E"/>
    <w:rsid w:val="00663427"/>
    <w:rsid w:val="00686BE9"/>
    <w:rsid w:val="0069047F"/>
    <w:rsid w:val="006B0CB1"/>
    <w:rsid w:val="006B2880"/>
    <w:rsid w:val="006D3454"/>
    <w:rsid w:val="006E6634"/>
    <w:rsid w:val="006F1D84"/>
    <w:rsid w:val="00722B70"/>
    <w:rsid w:val="00761D5F"/>
    <w:rsid w:val="007A44AA"/>
    <w:rsid w:val="007B0E0C"/>
    <w:rsid w:val="008376AF"/>
    <w:rsid w:val="00845F09"/>
    <w:rsid w:val="008B2853"/>
    <w:rsid w:val="008C6B8B"/>
    <w:rsid w:val="00906DC3"/>
    <w:rsid w:val="009A3816"/>
    <w:rsid w:val="009A7D1A"/>
    <w:rsid w:val="00A45981"/>
    <w:rsid w:val="00A52691"/>
    <w:rsid w:val="00A801B0"/>
    <w:rsid w:val="00AD7272"/>
    <w:rsid w:val="00B46160"/>
    <w:rsid w:val="00B51723"/>
    <w:rsid w:val="00B61ACE"/>
    <w:rsid w:val="00C50963"/>
    <w:rsid w:val="00C64ED5"/>
    <w:rsid w:val="00C812EC"/>
    <w:rsid w:val="00C9681C"/>
    <w:rsid w:val="00CA4511"/>
    <w:rsid w:val="00CC147A"/>
    <w:rsid w:val="00CC4CCF"/>
    <w:rsid w:val="00D27C2C"/>
    <w:rsid w:val="00D34AB6"/>
    <w:rsid w:val="00D46EFB"/>
    <w:rsid w:val="00D61B02"/>
    <w:rsid w:val="00D67904"/>
    <w:rsid w:val="00DC645A"/>
    <w:rsid w:val="00E306AC"/>
    <w:rsid w:val="00E45F8A"/>
    <w:rsid w:val="00E66177"/>
    <w:rsid w:val="00E820E6"/>
    <w:rsid w:val="00EC0060"/>
    <w:rsid w:val="00EE69B9"/>
    <w:rsid w:val="00EE79A8"/>
    <w:rsid w:val="00EF129C"/>
    <w:rsid w:val="00F171AA"/>
    <w:rsid w:val="00F35028"/>
    <w:rsid w:val="00F416B2"/>
    <w:rsid w:val="00F46789"/>
    <w:rsid w:val="00F76DA5"/>
    <w:rsid w:val="00F87E4B"/>
    <w:rsid w:val="00F94D8E"/>
    <w:rsid w:val="00FA0B69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9C9406"/>
  <w15:chartTrackingRefBased/>
  <w15:docId w15:val="{351F720C-8A78-4250-8C98-D7ED1C989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rsid w:val="006B0C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6B0C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6B0C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6B0C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6B0C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6B0C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uiPriority w:val="9"/>
    <w:semiHidden/>
    <w:unhideWhenUsed/>
    <w:qFormat/>
    <w:rsid w:val="006B0C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uiPriority w:val="9"/>
    <w:semiHidden/>
    <w:unhideWhenUsed/>
    <w:qFormat/>
    <w:rsid w:val="006B0C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uiPriority w:val="9"/>
    <w:semiHidden/>
    <w:unhideWhenUsed/>
    <w:qFormat/>
    <w:rsid w:val="006B0C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B0CB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B0CB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0CB1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C812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71AA"/>
  </w:style>
  <w:style w:type="paragraph" w:styleId="Piedepgina">
    <w:name w:val="footer"/>
    <w:basedOn w:val="Normal"/>
    <w:link w:val="PiedepginaCar"/>
    <w:uiPriority w:val="99"/>
    <w:unhideWhenUsed/>
    <w:rsid w:val="00C812E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71AA"/>
  </w:style>
  <w:style w:type="character" w:customStyle="1" w:styleId="Ttulo1Car">
    <w:name w:val="Título 1 Car"/>
    <w:basedOn w:val="Fuentedeprrafopredeter"/>
    <w:uiPriority w:val="9"/>
    <w:rsid w:val="00EE69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uiPriority w:val="9"/>
    <w:semiHidden/>
    <w:rsid w:val="00EE69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uiPriority w:val="9"/>
    <w:semiHidden/>
    <w:rsid w:val="00EE69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uiPriority w:val="9"/>
    <w:semiHidden/>
    <w:rsid w:val="00EE69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uiPriority w:val="9"/>
    <w:semiHidden/>
    <w:rsid w:val="00EE69B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uiPriority w:val="9"/>
    <w:semiHidden/>
    <w:rsid w:val="00EE69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uiPriority w:val="9"/>
    <w:semiHidden/>
    <w:rsid w:val="00EE69B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uiPriority w:val="9"/>
    <w:semiHidden/>
    <w:rsid w:val="00EE69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uiPriority w:val="9"/>
    <w:semiHidden/>
    <w:rsid w:val="00EE69B9"/>
    <w:rPr>
      <w:rFonts w:eastAsiaTheme="majorEastAsia" w:cstheme="majorBidi"/>
      <w:color w:val="272727" w:themeColor="text1" w:themeTint="D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2368A0DB1641D428485A3D8B3293150" ma:contentTypeVersion="23" ma:contentTypeDescription="Crear nuevo documento." ma:contentTypeScope="" ma:versionID="c6381e63a1cd5534627b170ee0447f31">
  <xsd:schema xmlns:xsd="http://www.w3.org/2001/XMLSchema" xmlns:xs="http://www.w3.org/2001/XMLSchema" xmlns:p="http://schemas.microsoft.com/office/2006/metadata/properties" xmlns:ns2="1b3372a7-7dc8-4b00-afef-77a513e85060" xmlns:ns3="32bbef5c-91bf-4284-8fae-217681526adc" targetNamespace="http://schemas.microsoft.com/office/2006/metadata/properties" ma:root="true" ma:fieldsID="0a73a471ab41ab445aa43f414235708c" ns2:_="" ns3:_="">
    <xsd:import namespace="1b3372a7-7dc8-4b00-afef-77a513e85060"/>
    <xsd:import namespace="32bbef5c-91bf-4284-8fae-217681526adc"/>
    <xsd:element name="properties">
      <xsd:complexType>
        <xsd:sequence>
          <xsd:element name="documentManagement">
            <xsd:complexType>
              <xsd:all>
                <xsd:element ref="ns2:Vencimient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3372a7-7dc8-4b00-afef-77a513e85060" elementFormDefault="qualified">
    <xsd:import namespace="http://schemas.microsoft.com/office/2006/documentManagement/types"/>
    <xsd:import namespace="http://schemas.microsoft.com/office/infopath/2007/PartnerControls"/>
    <xsd:element name="Vencimiento" ma:index="2" nillable="true" ma:displayName="Fecha de Vencimiento" ma:format="DateTime" ma:internalName="Vencimiento" ma:readOnly="false">
      <xsd:simpleType>
        <xsd:restriction base="dms:DateTim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bef5c-91bf-4284-8fae-217681526a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140b5aea-3ba5-424c-bb0b-7839c7b08bcb}" ma:internalName="TaxCatchAll" ma:showField="CatchAllData" ma:web="32bbef5c-91bf-4284-8fae-217681526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e conteni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b3372a7-7dc8-4b00-afef-77a513e85060">
      <Terms xmlns="http://schemas.microsoft.com/office/infopath/2007/PartnerControls"/>
    </lcf76f155ced4ddcb4097134ff3c332f>
    <Vencimiento xmlns="1b3372a7-7dc8-4b00-afef-77a513e85060" xsi:nil="true"/>
    <TaxCatchAll xmlns="32bbef5c-91bf-4284-8fae-217681526adc" xsi:nil="true"/>
  </documentManagement>
</p:properties>
</file>

<file path=customXml/itemProps1.xml><?xml version="1.0" encoding="utf-8"?>
<ds:datastoreItem xmlns:ds="http://schemas.openxmlformats.org/officeDocument/2006/customXml" ds:itemID="{D6A2DCB0-7A8B-4A91-A144-DEFD27695714}"/>
</file>

<file path=customXml/itemProps2.xml><?xml version="1.0" encoding="utf-8"?>
<ds:datastoreItem xmlns:ds="http://schemas.openxmlformats.org/officeDocument/2006/customXml" ds:itemID="{2466592E-70F6-40E6-AE58-555C7ED9F92B}"/>
</file>

<file path=customXml/itemProps3.xml><?xml version="1.0" encoding="utf-8"?>
<ds:datastoreItem xmlns:ds="http://schemas.openxmlformats.org/officeDocument/2006/customXml" ds:itemID="{EEE5B263-891C-4842-BAF1-F0E32565690D}"/>
</file>

<file path=docMetadata/LabelInfo.xml><?xml version="1.0" encoding="utf-8"?>
<clbl:labelList xmlns:clbl="http://schemas.microsoft.com/office/2020/mipLabelMetadata">
  <clbl:label id="{0f9e35db-544f-4f60-bdcc-5ea416e6dc70}" enabled="0" method="" siteId="{0f9e35db-544f-4f60-bdcc-5ea416e6dc7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772</Words>
  <Characters>4247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Gualdron Parra</dc:creator>
  <cp:keywords/>
  <dc:description/>
  <cp:lastModifiedBy>Andreita</cp:lastModifiedBy>
  <cp:revision>2</cp:revision>
  <dcterms:created xsi:type="dcterms:W3CDTF">2025-12-26T23:18:00Z</dcterms:created>
  <dcterms:modified xsi:type="dcterms:W3CDTF">2025-12-26T23:18:00Z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0x01010052368A0DB1641D428485A3D8B3293150</vt:lpwstr>
  </property>
</Properties>
</file>